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6BF6FBCD"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w:t>
      </w:r>
      <w:r w:rsidR="005A64B3">
        <w:rPr>
          <w:rFonts w:eastAsia="MS Mincho"/>
          <w:noProof w:val="0"/>
          <w:sz w:val="24"/>
          <w:szCs w:val="24"/>
          <w:lang w:val="en-GB" w:eastAsia="en-GB"/>
        </w:rPr>
        <w:t>5</w:t>
      </w:r>
      <w:r w:rsidRPr="000A52CF">
        <w:rPr>
          <w:rFonts w:eastAsia="MS Mincho"/>
          <w:noProof w:val="0"/>
          <w:sz w:val="24"/>
          <w:szCs w:val="24"/>
          <w:lang w:val="en-GB" w:eastAsia="en-GB"/>
        </w:rPr>
        <w:t>bis</w:t>
      </w:r>
      <w:r w:rsidRPr="000A52CF">
        <w:rPr>
          <w:rFonts w:eastAsia="MS Mincho"/>
          <w:noProof w:val="0"/>
          <w:sz w:val="24"/>
          <w:szCs w:val="24"/>
          <w:lang w:val="en-GB" w:eastAsia="en-GB"/>
        </w:rPr>
        <w:tab/>
      </w:r>
      <w:r w:rsidR="009E4CED" w:rsidRPr="009E4CED">
        <w:rPr>
          <w:rFonts w:eastAsia="MS Mincho"/>
          <w:noProof w:val="0"/>
          <w:sz w:val="24"/>
          <w:szCs w:val="24"/>
          <w:lang w:val="en-GB" w:eastAsia="en-GB"/>
        </w:rPr>
        <w:t>R2-240271</w:t>
      </w:r>
      <w:r w:rsidR="009E4CED">
        <w:rPr>
          <w:rFonts w:eastAsia="MS Mincho"/>
          <w:noProof w:val="0"/>
          <w:sz w:val="24"/>
          <w:szCs w:val="24"/>
          <w:lang w:val="en-GB" w:eastAsia="en-GB"/>
        </w:rPr>
        <w:t>3</w:t>
      </w:r>
    </w:p>
    <w:p w14:paraId="4AA29EF9" w14:textId="3A08B14C" w:rsidR="00934AFD" w:rsidRPr="00263FFD" w:rsidRDefault="005A64B3" w:rsidP="000A52CF">
      <w:pPr>
        <w:pStyle w:val="a3"/>
        <w:tabs>
          <w:tab w:val="right" w:pos="9639"/>
        </w:tabs>
        <w:jc w:val="both"/>
        <w:rPr>
          <w:rFonts w:cs="Arial"/>
          <w:b w:val="0"/>
          <w:bCs/>
          <w:i/>
          <w:iCs/>
          <w:sz w:val="24"/>
          <w:lang w:eastAsia="zh-CN"/>
        </w:rPr>
      </w:pPr>
      <w:r>
        <w:rPr>
          <w:rFonts w:eastAsia="MS Mincho"/>
          <w:noProof w:val="0"/>
          <w:sz w:val="24"/>
          <w:szCs w:val="24"/>
          <w:lang w:val="en-GB" w:eastAsia="en-GB"/>
        </w:rPr>
        <w:t>Changsha</w:t>
      </w:r>
      <w:r w:rsidR="000A52CF" w:rsidRPr="000A52CF">
        <w:rPr>
          <w:rFonts w:eastAsia="MS Mincho"/>
          <w:noProof w:val="0"/>
          <w:sz w:val="24"/>
          <w:szCs w:val="24"/>
          <w:lang w:val="en-GB" w:eastAsia="en-GB"/>
        </w:rPr>
        <w:t xml:space="preserve">, China, </w:t>
      </w:r>
      <w:r>
        <w:rPr>
          <w:rFonts w:eastAsia="MS Mincho"/>
          <w:noProof w:val="0"/>
          <w:sz w:val="24"/>
          <w:szCs w:val="24"/>
          <w:lang w:val="en-GB" w:eastAsia="en-GB"/>
        </w:rPr>
        <w:t>April</w:t>
      </w:r>
      <w:r w:rsidR="000A52CF" w:rsidRPr="000A52CF">
        <w:rPr>
          <w:rFonts w:eastAsia="MS Mincho"/>
          <w:noProof w:val="0"/>
          <w:sz w:val="24"/>
          <w:szCs w:val="24"/>
          <w:lang w:val="en-GB" w:eastAsia="en-GB"/>
        </w:rPr>
        <w:t xml:space="preserve"> </w:t>
      </w:r>
      <w:r>
        <w:rPr>
          <w:rFonts w:eastAsia="MS Mincho"/>
          <w:noProof w:val="0"/>
          <w:sz w:val="24"/>
          <w:szCs w:val="24"/>
          <w:lang w:val="en-GB" w:eastAsia="en-GB"/>
        </w:rPr>
        <w:t>15</w:t>
      </w:r>
      <w:r w:rsidR="000A52CF" w:rsidRPr="000A52CF">
        <w:rPr>
          <w:rFonts w:eastAsia="MS Mincho"/>
          <w:noProof w:val="0"/>
          <w:sz w:val="24"/>
          <w:szCs w:val="24"/>
          <w:lang w:val="en-GB" w:eastAsia="en-GB"/>
        </w:rPr>
        <w:t>th – 1</w:t>
      </w:r>
      <w:r>
        <w:rPr>
          <w:rFonts w:eastAsia="MS Mincho"/>
          <w:noProof w:val="0"/>
          <w:sz w:val="24"/>
          <w:szCs w:val="24"/>
          <w:lang w:val="en-GB" w:eastAsia="en-GB"/>
        </w:rPr>
        <w:t>9</w:t>
      </w:r>
      <w:r w:rsidR="000A52CF" w:rsidRPr="000A52CF">
        <w:rPr>
          <w:rFonts w:eastAsia="MS Mincho"/>
          <w:noProof w:val="0"/>
          <w:sz w:val="24"/>
          <w:szCs w:val="24"/>
          <w:lang w:val="en-GB" w:eastAsia="en-GB"/>
        </w:rPr>
        <w:t>th, 202</w:t>
      </w:r>
      <w:r>
        <w:rPr>
          <w:rFonts w:eastAsia="MS Mincho"/>
          <w:noProof w:val="0"/>
          <w:sz w:val="24"/>
          <w:szCs w:val="24"/>
          <w:lang w:val="en-GB" w:eastAsia="en-GB"/>
        </w:rPr>
        <w:t>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9C8291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B558A">
        <w:rPr>
          <w:rFonts w:ascii="Arial" w:hAnsi="Arial" w:cs="Arial" w:hint="eastAsia"/>
          <w:b/>
          <w:bCs/>
          <w:sz w:val="24"/>
        </w:rPr>
        <w:t>On</w:t>
      </w:r>
      <w:r w:rsidR="00FB558A">
        <w:rPr>
          <w:rFonts w:ascii="Arial" w:hAnsi="Arial" w:cs="Arial"/>
          <w:b/>
          <w:bCs/>
          <w:sz w:val="24"/>
        </w:rPr>
        <w:t xml:space="preserve"> support of MBS broadcast</w:t>
      </w:r>
      <w:r w:rsidR="0080775C">
        <w:rPr>
          <w:rFonts w:ascii="Arial" w:hAnsi="Arial" w:cs="Arial"/>
          <w:b/>
          <w:bCs/>
          <w:sz w:val="24"/>
        </w:rPr>
        <w:t xml:space="preserve">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0232D75E" w:rsidR="009D015E" w:rsidRDefault="00690B84" w:rsidP="005C389C">
      <w:pPr>
        <w:rPr>
          <w:rFonts w:ascii="Times New Roman" w:hAnsi="Times New Roman"/>
          <w:sz w:val="22"/>
        </w:rPr>
      </w:pPr>
      <w:r w:rsidRPr="00690B84">
        <w:rPr>
          <w:rFonts w:ascii="Times New Roman" w:hAnsi="Times New Roman"/>
          <w:sz w:val="22"/>
        </w:rPr>
        <w:t xml:space="preserve">The NTN with large coverage is well suited to support MBS </w:t>
      </w:r>
      <w:r w:rsidR="00F533B4" w:rsidRPr="00F533B4">
        <w:rPr>
          <w:rFonts w:ascii="Times New Roman" w:hAnsi="Times New Roman"/>
          <w:sz w:val="22"/>
        </w:rPr>
        <w:t xml:space="preserve">broadcast </w:t>
      </w:r>
      <w:r w:rsidRPr="00690B84">
        <w:rPr>
          <w:rFonts w:ascii="Times New Roman" w:hAnsi="Times New Roman"/>
          <w:sz w:val="22"/>
        </w:rPr>
        <w:t xml:space="preserve">in providing services to more UEs with higher resource efficiency, and MBS </w:t>
      </w:r>
      <w:r w:rsidR="00F533B4" w:rsidRPr="00F533B4">
        <w:rPr>
          <w:rFonts w:ascii="Times New Roman" w:hAnsi="Times New Roman"/>
          <w:sz w:val="22"/>
        </w:rPr>
        <w:t>broadcast</w:t>
      </w:r>
      <w:r w:rsidR="00F533B4">
        <w:rPr>
          <w:rFonts w:ascii="Times New Roman" w:hAnsi="Times New Roman"/>
          <w:sz w:val="22"/>
        </w:rPr>
        <w:t xml:space="preserve"> also</w:t>
      </w:r>
      <w:r w:rsidRPr="00690B84">
        <w:rPr>
          <w:rFonts w:ascii="Times New Roman" w:hAnsi="Times New Roman"/>
          <w:sz w:val="22"/>
        </w:rPr>
        <w:t xml:space="preserve"> provides an important add-value for NR NTN system leveraging the large coverage.</w:t>
      </w:r>
      <w:r w:rsidR="00F533B4">
        <w:rPr>
          <w:rFonts w:ascii="Times New Roman" w:hAnsi="Times New Roman"/>
          <w:sz w:val="22"/>
        </w:rPr>
        <w:t xml:space="preserve"> The following objective has been confirmed for Rel-19 NR NTN study:</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E3DF19F" w:rsidR="00673F36" w:rsidRPr="00B942CE" w:rsidRDefault="00B942CE" w:rsidP="005C389C">
            <w:pPr>
              <w:rPr>
                <w:rFonts w:ascii="Times New Roman" w:hAnsi="Times New Roman"/>
                <w:sz w:val="22"/>
                <w:lang w:val="en-GB"/>
              </w:rPr>
            </w:pPr>
            <w:r>
              <w:rPr>
                <w:rFonts w:ascii="Times New Roman" w:hAnsi="Times New Roman"/>
                <w:sz w:val="22"/>
              </w:rPr>
              <w:t xml:space="preserve">RP-240775 </w:t>
            </w:r>
            <w:r w:rsidRPr="00303A63">
              <w:rPr>
                <w:rFonts w:ascii="Times New Roman" w:hAnsi="Times New Roman"/>
                <w:sz w:val="22"/>
                <w:lang w:val="en-GB"/>
              </w:rPr>
              <w:t>Revised WID: Non-Terrestrial Networks (NTN) for NR Phase 3</w:t>
            </w:r>
          </w:p>
          <w:p w14:paraId="6BDDE9DB" w14:textId="77777777" w:rsidR="00973182" w:rsidRDefault="00973182" w:rsidP="00973182">
            <w:pPr>
              <w:rPr>
                <w:rFonts w:ascii="Times New Roman" w:hAnsi="Times New Roman"/>
                <w:bCs/>
                <w:sz w:val="22"/>
                <w:lang w:val="en-GB"/>
              </w:rPr>
            </w:pPr>
            <w:r w:rsidRPr="00973182">
              <w:rPr>
                <w:rFonts w:ascii="Times New Roman" w:hAnsi="Times New Roman"/>
                <w:bCs/>
                <w:sz w:val="22"/>
                <w:lang w:val="en-GB"/>
              </w:rPr>
              <w:t>The</w:t>
            </w:r>
            <w:r w:rsidRPr="00973182">
              <w:rPr>
                <w:rFonts w:ascii="Times New Roman" w:hAnsi="Times New Roman" w:hint="eastAsia"/>
                <w:bCs/>
                <w:sz w:val="22"/>
                <w:lang w:val="en-GB"/>
              </w:rPr>
              <w:t xml:space="preserve"> </w:t>
            </w:r>
            <w:r w:rsidRPr="00973182">
              <w:rPr>
                <w:rFonts w:ascii="Times New Roman" w:hAnsi="Times New Roman"/>
                <w:bCs/>
                <w:sz w:val="22"/>
                <w:lang w:val="en-GB"/>
              </w:rPr>
              <w:t>objectives of the work item are the following:</w:t>
            </w:r>
          </w:p>
          <w:p w14:paraId="1A52D4AE" w14:textId="62EFDABC" w:rsidR="00F533B4" w:rsidRDefault="00F533B4" w:rsidP="00973182">
            <w:pPr>
              <w:rPr>
                <w:rFonts w:ascii="Times New Roman" w:hAnsi="Times New Roman"/>
                <w:bCs/>
                <w:sz w:val="22"/>
                <w:lang w:val="en-GB"/>
              </w:rPr>
            </w:pPr>
            <w:r>
              <w:rPr>
                <w:rFonts w:ascii="Times New Roman" w:hAnsi="Times New Roman"/>
                <w:bCs/>
                <w:sz w:val="22"/>
                <w:lang w:val="en-GB"/>
              </w:rPr>
              <w:t>…</w:t>
            </w:r>
          </w:p>
          <w:p w14:paraId="3D3EB10F" w14:textId="77777777" w:rsidR="00F533B4" w:rsidRPr="00F533B4" w:rsidRDefault="00F533B4" w:rsidP="00F533B4">
            <w:pPr>
              <w:widowControl/>
              <w:numPr>
                <w:ilvl w:val="0"/>
                <w:numId w:val="30"/>
              </w:numPr>
              <w:overflowPunct w:val="0"/>
              <w:autoSpaceDE w:val="0"/>
              <w:autoSpaceDN w:val="0"/>
              <w:adjustRightInd w:val="0"/>
              <w:jc w:val="left"/>
              <w:textAlignment w:val="baseline"/>
              <w:rPr>
                <w:rFonts w:ascii="Times New Roman" w:eastAsia="Malgun Gothic" w:hAnsi="Times New Roman"/>
                <w:kern w:val="0"/>
                <w:sz w:val="22"/>
                <w:lang w:eastAsia="ko-KR"/>
              </w:rPr>
            </w:pPr>
            <w:r w:rsidRPr="00F533B4">
              <w:rPr>
                <w:rFonts w:ascii="Times New Roman" w:eastAsia="Malgun Gothic" w:hAnsi="Times New Roman"/>
                <w:kern w:val="0"/>
                <w:sz w:val="22"/>
                <w:lang w:eastAsia="ko-KR"/>
              </w:rPr>
              <w:t>Specify signaling of the intended service area of a broadcast service (e.g. MBS broadcast) via NR NTN [RAN2, RAN3]</w:t>
            </w:r>
          </w:p>
          <w:p w14:paraId="291B5877" w14:textId="77777777" w:rsidR="00F533B4" w:rsidRPr="00F533B4" w:rsidRDefault="00F533B4" w:rsidP="00F533B4">
            <w:pPr>
              <w:widowControl/>
              <w:numPr>
                <w:ilvl w:val="0"/>
                <w:numId w:val="31"/>
              </w:numPr>
              <w:overflowPunct w:val="0"/>
              <w:autoSpaceDE w:val="0"/>
              <w:autoSpaceDN w:val="0"/>
              <w:adjustRightInd w:val="0"/>
              <w:ind w:hanging="357"/>
              <w:contextualSpacing/>
              <w:jc w:val="left"/>
              <w:textAlignment w:val="baseline"/>
              <w:rPr>
                <w:rFonts w:ascii="Times New Roman" w:eastAsia="Calibri" w:hAnsi="Times New Roman"/>
                <w:kern w:val="0"/>
                <w:sz w:val="22"/>
              </w:rPr>
            </w:pPr>
            <w:r w:rsidRPr="00F533B4">
              <w:rPr>
                <w:rFonts w:ascii="Times New Roman" w:eastAsia="Calibri" w:hAnsi="Times New Roman"/>
                <w:kern w:val="0"/>
                <w:sz w:val="22"/>
              </w:rPr>
              <w:t>Specify SIB signaling to indicate the intended service area in case the satellite footprint covers a larger area. [RAN2]</w:t>
            </w:r>
          </w:p>
          <w:p w14:paraId="66B64218" w14:textId="5A2BD2E4" w:rsidR="00DA76E6" w:rsidRPr="00F533B4" w:rsidRDefault="00F533B4" w:rsidP="00F533B4">
            <w:pPr>
              <w:widowControl/>
              <w:numPr>
                <w:ilvl w:val="0"/>
                <w:numId w:val="31"/>
              </w:numPr>
              <w:overflowPunct w:val="0"/>
              <w:autoSpaceDE w:val="0"/>
              <w:autoSpaceDN w:val="0"/>
              <w:adjustRightInd w:val="0"/>
              <w:ind w:hanging="357"/>
              <w:contextualSpacing/>
              <w:jc w:val="left"/>
              <w:textAlignment w:val="baseline"/>
              <w:rPr>
                <w:rFonts w:ascii="Times New Roman" w:eastAsia="Calibri" w:hAnsi="Times New Roman"/>
                <w:kern w:val="0"/>
                <w:sz w:val="22"/>
              </w:rPr>
            </w:pPr>
            <w:r w:rsidRPr="00F533B4">
              <w:rPr>
                <w:rFonts w:ascii="Times New Roman" w:eastAsia="Calibri" w:hAnsi="Times New Roman"/>
                <w:kern w:val="0"/>
                <w:sz w:val="22"/>
              </w:rPr>
              <w:t>Specify the necessary signaling between CN and NG-RAN. [RAN3]</w:t>
            </w:r>
          </w:p>
        </w:tc>
      </w:tr>
    </w:tbl>
    <w:p w14:paraId="335C3B46" w14:textId="683FDCF4"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F533B4">
        <w:rPr>
          <w:rFonts w:ascii="Times New Roman" w:hAnsi="Times New Roman"/>
          <w:sz w:val="22"/>
        </w:rPr>
        <w:t>specific issue of broadcast service area indication in NTN, especially when the broadcast service area is smaller than the size of an NTN cell.</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CC5ACEC" w14:textId="5A790902" w:rsidR="009E411A" w:rsidRPr="009E411A" w:rsidRDefault="009E411A" w:rsidP="009E411A">
      <w:pPr>
        <w:rPr>
          <w:rFonts w:ascii="Times New Roman" w:hAnsi="Times New Roman"/>
          <w:sz w:val="22"/>
        </w:rPr>
      </w:pPr>
      <w:r w:rsidRPr="009E411A">
        <w:rPr>
          <w:rFonts w:ascii="Times New Roman" w:hAnsi="Times New Roman"/>
          <w:sz w:val="22"/>
        </w:rPr>
        <w:t>For MBS broadcast services, the same service and the same specific content data are provided simultaneously to all UEs in a geographical area, and all UEs in the MBS broadcast service area are authorized to receive the data.</w:t>
      </w:r>
      <w:r>
        <w:rPr>
          <w:rFonts w:ascii="Times New Roman" w:hAnsi="Times New Roman"/>
          <w:sz w:val="22"/>
        </w:rPr>
        <w:t xml:space="preserve"> </w:t>
      </w:r>
      <w:r w:rsidRPr="009E411A">
        <w:rPr>
          <w:rFonts w:ascii="Times New Roman" w:hAnsi="Times New Roman" w:hint="eastAsia"/>
          <w:sz w:val="22"/>
        </w:rPr>
        <w:t>To</w:t>
      </w:r>
      <w:r w:rsidRPr="009E411A">
        <w:rPr>
          <w:rFonts w:ascii="Times New Roman" w:hAnsi="Times New Roman"/>
          <w:sz w:val="22"/>
        </w:rPr>
        <w:t xml:space="preserve"> ensure that UE in an MBS broadcast service area is aware that it is authorized to receive the corresponding services, the UE can process the</w:t>
      </w:r>
      <w:r w:rsidRPr="009E411A">
        <w:rPr>
          <w:rFonts w:ascii="Times New Roman" w:hAnsi="Times New Roman"/>
          <w:i/>
          <w:sz w:val="22"/>
          <w:lang w:val="en-GB"/>
        </w:rPr>
        <w:t xml:space="preserve"> serviceArea</w:t>
      </w:r>
      <w:r w:rsidRPr="009E411A">
        <w:rPr>
          <w:rFonts w:ascii="Times New Roman" w:hAnsi="Times New Roman"/>
          <w:sz w:val="22"/>
        </w:rPr>
        <w:t xml:space="preserve"> element received in the USD (</w:t>
      </w:r>
      <w:r w:rsidRPr="009E411A">
        <w:rPr>
          <w:rFonts w:ascii="Times New Roman" w:hAnsi="Times New Roman"/>
          <w:sz w:val="22"/>
          <w:lang w:val="en-GB"/>
        </w:rPr>
        <w:t xml:space="preserve">User Service Description) from network, wherein the </w:t>
      </w:r>
      <w:r w:rsidRPr="009E411A">
        <w:rPr>
          <w:rFonts w:ascii="Times New Roman" w:hAnsi="Times New Roman"/>
          <w:i/>
          <w:sz w:val="22"/>
          <w:lang w:val="en-GB"/>
        </w:rPr>
        <w:t>serviceArea</w:t>
      </w:r>
      <w:r w:rsidRPr="009E411A">
        <w:rPr>
          <w:rFonts w:ascii="Times New Roman" w:hAnsi="Times New Roman"/>
          <w:sz w:val="22"/>
          <w:lang w:val="en-GB"/>
        </w:rPr>
        <w:t xml:space="preserve"> element declares the one or more service areas over which a corresponding service is provided and is designated by the </w:t>
      </w:r>
      <w:r w:rsidRPr="009E411A">
        <w:rPr>
          <w:rFonts w:ascii="Times New Roman" w:hAnsi="Times New Roman"/>
          <w:iCs/>
          <w:sz w:val="22"/>
          <w:lang w:val="en-GB"/>
        </w:rPr>
        <w:t>SAI (Service Area Identity)</w:t>
      </w:r>
      <w:r w:rsidRPr="009E411A">
        <w:rPr>
          <w:rFonts w:ascii="Times New Roman" w:hAnsi="Times New Roman"/>
          <w:sz w:val="22"/>
          <w:lang w:val="en-GB"/>
        </w:rPr>
        <w:t>. The SAI is frequency agnostic and can be mapped onto one or more cells as defined in 3GPP TS 36.443.</w:t>
      </w:r>
      <w:r>
        <w:rPr>
          <w:rFonts w:ascii="Times New Roman" w:hAnsi="Times New Roman"/>
          <w:sz w:val="22"/>
          <w:lang w:val="en-GB"/>
        </w:rPr>
        <w:t xml:space="preserve"> </w:t>
      </w:r>
      <w:r w:rsidRPr="009E411A">
        <w:rPr>
          <w:rFonts w:ascii="Times New Roman" w:hAnsi="Times New Roman" w:hint="eastAsia"/>
          <w:sz w:val="22"/>
        </w:rPr>
        <w:t>To</w:t>
      </w:r>
      <w:r w:rsidRPr="009E411A">
        <w:rPr>
          <w:rFonts w:ascii="Times New Roman" w:hAnsi="Times New Roman"/>
          <w:sz w:val="22"/>
        </w:rPr>
        <w:t xml:space="preserve"> ensure that UE out of the MBS broadcast service area is aware that it is not authorized to receive the corresponding services, it is up to UE implementation to use the cell/tracking area list in the USD to avoid acquiring the MCCH when the UE is outside the MBS broadcast service area.</w:t>
      </w:r>
    </w:p>
    <w:p w14:paraId="0687BEAB" w14:textId="000168E5" w:rsidR="009E411A" w:rsidRDefault="009E411A" w:rsidP="009E411A">
      <w:pPr>
        <w:rPr>
          <w:rFonts w:ascii="Times New Roman" w:hAnsi="Times New Roman"/>
          <w:sz w:val="22"/>
        </w:rPr>
      </w:pPr>
      <w:r w:rsidRPr="009E411A">
        <w:rPr>
          <w:rFonts w:ascii="Times New Roman" w:hAnsi="Times New Roman" w:hint="eastAsia"/>
          <w:sz w:val="22"/>
        </w:rPr>
        <w:t>F</w:t>
      </w:r>
      <w:r w:rsidRPr="009E411A">
        <w:rPr>
          <w:rFonts w:ascii="Times New Roman" w:hAnsi="Times New Roman"/>
          <w:sz w:val="22"/>
        </w:rPr>
        <w:t xml:space="preserve">rom the above description and analysis, it is observed that </w:t>
      </w:r>
      <w:r w:rsidRPr="009E411A">
        <w:rPr>
          <w:rFonts w:ascii="Times New Roman" w:hAnsi="Times New Roman" w:hint="eastAsia"/>
          <w:sz w:val="22"/>
        </w:rPr>
        <w:t>in</w:t>
      </w:r>
      <w:r w:rsidRPr="009E411A">
        <w:rPr>
          <w:rFonts w:ascii="Times New Roman" w:hAnsi="Times New Roman"/>
          <w:sz w:val="22"/>
        </w:rPr>
        <w:t xml:space="preserve"> </w:t>
      </w:r>
      <w:r>
        <w:rPr>
          <w:rFonts w:ascii="Times New Roman" w:hAnsi="Times New Roman"/>
          <w:sz w:val="22"/>
        </w:rPr>
        <w:t xml:space="preserve">current </w:t>
      </w:r>
      <w:r w:rsidRPr="009E411A">
        <w:rPr>
          <w:rFonts w:ascii="Times New Roman" w:hAnsi="Times New Roman"/>
          <w:sz w:val="22"/>
        </w:rPr>
        <w:t xml:space="preserve">MBS </w:t>
      </w:r>
      <w:r>
        <w:rPr>
          <w:rFonts w:ascii="Times New Roman" w:hAnsi="Times New Roman"/>
          <w:sz w:val="22"/>
        </w:rPr>
        <w:t xml:space="preserve">broadcast </w:t>
      </w:r>
      <w:r w:rsidRPr="009E411A">
        <w:rPr>
          <w:rFonts w:ascii="Times New Roman" w:hAnsi="Times New Roman"/>
          <w:sz w:val="22"/>
        </w:rPr>
        <w:t>designed for TN, UE can simply judge whether it is in an MBS broadcast service area by its serving cell and the corresponding MBS broadcast configuration it receives. This mechanism is workable based on the assumption that an MBS broadcast service area is larger than a TN cell coverage so that the service area can be mapped to one or more TN cells.</w:t>
      </w:r>
    </w:p>
    <w:p w14:paraId="16E6C29E" w14:textId="6E0350A3" w:rsidR="009E411A" w:rsidRPr="009E411A" w:rsidRDefault="009E411A" w:rsidP="009E411A">
      <w:pPr>
        <w:rPr>
          <w:rFonts w:ascii="Times New Roman" w:hAnsi="Times New Roman"/>
          <w:b/>
          <w:bCs/>
          <w:sz w:val="22"/>
        </w:rPr>
      </w:pPr>
      <w:r w:rsidRPr="009E411A">
        <w:rPr>
          <w:rFonts w:ascii="Times New Roman" w:hAnsi="Times New Roman" w:hint="eastAsia"/>
          <w:b/>
          <w:bCs/>
          <w:sz w:val="22"/>
        </w:rPr>
        <w:t>O</w:t>
      </w:r>
      <w:r w:rsidRPr="009E411A">
        <w:rPr>
          <w:rFonts w:ascii="Times New Roman" w:hAnsi="Times New Roman"/>
          <w:b/>
          <w:bCs/>
          <w:sz w:val="22"/>
        </w:rPr>
        <w:t>bservation 1: The mechanism of determining whether UE is in an MBS broadcast service area by its serving cell, is based on the assumption that an MBS broadcast service area is larger than a TN cell coverage.</w:t>
      </w:r>
    </w:p>
    <w:p w14:paraId="2F6E93B4" w14:textId="30B59649" w:rsidR="009E411A" w:rsidRPr="009E411A" w:rsidRDefault="009E411A" w:rsidP="009E411A">
      <w:pPr>
        <w:rPr>
          <w:rFonts w:ascii="Times New Roman" w:hAnsi="Times New Roman"/>
          <w:sz w:val="22"/>
        </w:rPr>
      </w:pPr>
      <w:r>
        <w:rPr>
          <w:rFonts w:ascii="Times New Roman" w:hAnsi="Times New Roman"/>
          <w:sz w:val="22"/>
        </w:rPr>
        <w:t>As shown in Figure 1, t</w:t>
      </w:r>
      <w:r w:rsidRPr="009E411A">
        <w:rPr>
          <w:rFonts w:ascii="Times New Roman" w:hAnsi="Times New Roman"/>
          <w:sz w:val="22"/>
        </w:rPr>
        <w:t xml:space="preserve">he diameter of an NTN cell (i.e. satellite beam footprint size) is up to 1000km for LEO and 3500km for GEO, which could be much larger than an MBS broadcast service area. Meanwhile, an NTN </w:t>
      </w:r>
      <w:r w:rsidRPr="009E411A">
        <w:rPr>
          <w:rFonts w:ascii="Times New Roman" w:hAnsi="Times New Roman"/>
          <w:sz w:val="22"/>
        </w:rPr>
        <w:lastRenderedPageBreak/>
        <w:t>cell may cross country border on one side of which providing an MBS broadcast service is not allowed or authorized. As a result, a UE may not be automatically authorized to receive an MBS broadcast service by the serving NTN cell it is in, i.e., not all UE within the same NTN cell is authorized to receive the same MBS broadcast service.</w:t>
      </w:r>
    </w:p>
    <w:p w14:paraId="5470059B" w14:textId="77777777" w:rsidR="009E411A" w:rsidRDefault="009E411A" w:rsidP="009E411A">
      <w:pPr>
        <w:spacing w:beforeLines="50" w:before="156" w:afterLines="50" w:after="156"/>
        <w:jc w:val="center"/>
        <w:rPr>
          <w:rFonts w:eastAsiaTheme="minorEastAsia"/>
        </w:rPr>
      </w:pPr>
      <w:r>
        <w:rPr>
          <w:rFonts w:eastAsiaTheme="minorEastAsia"/>
          <w:noProof/>
        </w:rPr>
        <w:drawing>
          <wp:inline distT="0" distB="0" distL="0" distR="0" wp14:anchorId="54F8101C" wp14:editId="16692572">
            <wp:extent cx="5566726" cy="19704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7298" cy="1981287"/>
                    </a:xfrm>
                    <a:prstGeom prst="rect">
                      <a:avLst/>
                    </a:prstGeom>
                    <a:noFill/>
                  </pic:spPr>
                </pic:pic>
              </a:graphicData>
            </a:graphic>
          </wp:inline>
        </w:drawing>
      </w:r>
    </w:p>
    <w:p w14:paraId="6893FACD" w14:textId="77777777" w:rsidR="009E411A" w:rsidRPr="009E411A" w:rsidRDefault="009E411A" w:rsidP="009E411A">
      <w:pPr>
        <w:jc w:val="center"/>
        <w:rPr>
          <w:rFonts w:ascii="Times New Roman" w:hAnsi="Times New Roman"/>
          <w:sz w:val="22"/>
        </w:rPr>
      </w:pPr>
      <w:r w:rsidRPr="009E411A">
        <w:rPr>
          <w:rFonts w:ascii="Times New Roman" w:hAnsi="Times New Roman" w:hint="eastAsia"/>
          <w:sz w:val="22"/>
        </w:rPr>
        <w:t>F</w:t>
      </w:r>
      <w:r w:rsidRPr="009E411A">
        <w:rPr>
          <w:rFonts w:ascii="Times New Roman" w:hAnsi="Times New Roman"/>
          <w:sz w:val="22"/>
        </w:rPr>
        <w:t>igure 1. Relation between MBS broadcast service area and cell coverage in TN and NTN</w:t>
      </w:r>
    </w:p>
    <w:p w14:paraId="050317C1" w14:textId="3E48AE22" w:rsidR="00F9782A" w:rsidRPr="00F9782A" w:rsidRDefault="009E411A" w:rsidP="00F9782A">
      <w:pPr>
        <w:rPr>
          <w:rFonts w:ascii="Times New Roman" w:hAnsi="Times New Roman"/>
          <w:sz w:val="22"/>
        </w:rPr>
      </w:pPr>
      <w:r w:rsidRPr="009E411A">
        <w:rPr>
          <w:rFonts w:ascii="Times New Roman" w:hAnsi="Times New Roman"/>
          <w:sz w:val="22"/>
        </w:rPr>
        <w:t>In such case, solutions are needed to ensure that UE served by an NTN cell in the service area of an MBS broadcast service can receive or process the corresponding service, or to ensure that UE served by an NTN cell but NOT in the service area of an MBS broadcast service cannot receive or process the corresponding service.</w:t>
      </w:r>
      <w:r w:rsidR="00F9782A">
        <w:rPr>
          <w:rFonts w:ascii="Times New Roman" w:hAnsi="Times New Roman"/>
          <w:sz w:val="22"/>
        </w:rPr>
        <w:t xml:space="preserve"> In either case some additional</w:t>
      </w:r>
      <w:r w:rsidR="00F9782A" w:rsidRPr="00F9782A">
        <w:t xml:space="preserve"> </w:t>
      </w:r>
      <w:r w:rsidR="00F9782A" w:rsidRPr="00F9782A">
        <w:rPr>
          <w:rFonts w:ascii="Times New Roman" w:hAnsi="Times New Roman"/>
          <w:sz w:val="22"/>
        </w:rPr>
        <w:t>information of MBS broadcast service area that is smaller than an NTN cell</w:t>
      </w:r>
      <w:r w:rsidR="00F9782A">
        <w:rPr>
          <w:rFonts w:ascii="Times New Roman" w:hAnsi="Times New Roman"/>
          <w:sz w:val="22"/>
        </w:rPr>
        <w:t xml:space="preserve"> is necessary at UE.</w:t>
      </w:r>
      <w:r w:rsidR="003065BE">
        <w:rPr>
          <w:rFonts w:ascii="Times New Roman" w:hAnsi="Times New Roman"/>
          <w:sz w:val="22"/>
        </w:rPr>
        <w:t xml:space="preserve"> </w:t>
      </w:r>
      <w:r w:rsidR="00F9782A">
        <w:rPr>
          <w:rFonts w:ascii="Times New Roman" w:hAnsi="Times New Roman"/>
          <w:sz w:val="22"/>
        </w:rPr>
        <w:t>To indicate such information, either e</w:t>
      </w:r>
      <w:r w:rsidR="00F9782A" w:rsidRPr="00F9782A">
        <w:rPr>
          <w:rFonts w:ascii="Times New Roman" w:hAnsi="Times New Roman"/>
          <w:sz w:val="22"/>
        </w:rPr>
        <w:t>xplicit parameters of MBS broadcast service area</w:t>
      </w:r>
      <w:r w:rsidR="00F9782A">
        <w:rPr>
          <w:rFonts w:ascii="Times New Roman" w:hAnsi="Times New Roman"/>
          <w:sz w:val="22"/>
        </w:rPr>
        <w:t xml:space="preserve"> (e.g. </w:t>
      </w:r>
      <w:r w:rsidR="00F9782A" w:rsidRPr="00F9782A">
        <w:rPr>
          <w:rFonts w:ascii="Times New Roman" w:hAnsi="Times New Roman"/>
          <w:sz w:val="22"/>
        </w:rPr>
        <w:t>reference location + radius</w:t>
      </w:r>
      <w:r w:rsidR="00F9782A">
        <w:rPr>
          <w:rFonts w:ascii="Times New Roman" w:hAnsi="Times New Roman"/>
          <w:sz w:val="22"/>
        </w:rPr>
        <w:t>)</w:t>
      </w:r>
      <w:r w:rsidR="003065BE">
        <w:rPr>
          <w:rFonts w:ascii="Times New Roman" w:hAnsi="Times New Roman"/>
          <w:sz w:val="22"/>
        </w:rPr>
        <w:t xml:space="preserve"> or implicit e</w:t>
      </w:r>
      <w:r w:rsidR="003065BE" w:rsidRPr="00F9782A">
        <w:rPr>
          <w:rFonts w:ascii="Times New Roman" w:hAnsi="Times New Roman"/>
          <w:sz w:val="22"/>
        </w:rPr>
        <w:t>xplicit parameters</w:t>
      </w:r>
      <w:r w:rsidR="003065BE">
        <w:rPr>
          <w:rFonts w:ascii="Times New Roman" w:hAnsi="Times New Roman"/>
          <w:sz w:val="22"/>
        </w:rPr>
        <w:t xml:space="preserve"> associated to </w:t>
      </w:r>
      <w:r w:rsidR="003065BE" w:rsidRPr="00F9782A">
        <w:rPr>
          <w:rFonts w:ascii="Times New Roman" w:hAnsi="Times New Roman"/>
          <w:sz w:val="22"/>
        </w:rPr>
        <w:t>MBS broadcast service area</w:t>
      </w:r>
      <w:r w:rsidR="003065BE">
        <w:rPr>
          <w:rFonts w:ascii="Times New Roman" w:hAnsi="Times New Roman"/>
          <w:sz w:val="22"/>
        </w:rPr>
        <w:t xml:space="preserve"> (e.g. beam, elevation angle, propagation delay) can be considered.</w:t>
      </w:r>
    </w:p>
    <w:p w14:paraId="0C94EA9D" w14:textId="77777777" w:rsidR="003065BE" w:rsidRPr="00F9782A" w:rsidRDefault="003065BE" w:rsidP="003065BE">
      <w:pPr>
        <w:rPr>
          <w:rFonts w:ascii="Times New Roman" w:hAnsi="Times New Roman"/>
          <w:b/>
          <w:bCs/>
          <w:sz w:val="22"/>
        </w:rPr>
      </w:pPr>
      <w:r w:rsidRPr="00F9782A">
        <w:rPr>
          <w:rFonts w:ascii="Times New Roman" w:hAnsi="Times New Roman" w:hint="eastAsia"/>
          <w:b/>
          <w:bCs/>
          <w:sz w:val="22"/>
        </w:rPr>
        <w:t>P</w:t>
      </w:r>
      <w:r w:rsidRPr="00F9782A">
        <w:rPr>
          <w:rFonts w:ascii="Times New Roman" w:hAnsi="Times New Roman"/>
          <w:b/>
          <w:bCs/>
          <w:sz w:val="22"/>
        </w:rPr>
        <w:t>roposal 1: RAN2 to discuss how to provide information of MBS broadcast service area that is smaller than an NTN cell.</w:t>
      </w:r>
    </w:p>
    <w:p w14:paraId="6532AFD0" w14:textId="68EEEBCD" w:rsidR="009E411A" w:rsidRDefault="003065BE" w:rsidP="00DE39E0">
      <w:pPr>
        <w:rPr>
          <w:rFonts w:ascii="Times New Roman" w:hAnsi="Times New Roman"/>
          <w:sz w:val="22"/>
        </w:rPr>
      </w:pPr>
      <w:r>
        <w:rPr>
          <w:rFonts w:ascii="Times New Roman" w:hAnsi="Times New Roman" w:hint="eastAsia"/>
          <w:sz w:val="22"/>
        </w:rPr>
        <w:t>I</w:t>
      </w:r>
      <w:r>
        <w:rPr>
          <w:rFonts w:ascii="Times New Roman" w:hAnsi="Times New Roman"/>
          <w:sz w:val="22"/>
        </w:rPr>
        <w:t xml:space="preserve">f the </w:t>
      </w:r>
      <w:r w:rsidRPr="003065BE">
        <w:rPr>
          <w:rFonts w:ascii="Times New Roman" w:hAnsi="Times New Roman"/>
          <w:sz w:val="22"/>
        </w:rPr>
        <w:t>information of MBS broadcast service area</w:t>
      </w:r>
      <w:r>
        <w:rPr>
          <w:rFonts w:ascii="Times New Roman" w:hAnsi="Times New Roman"/>
          <w:sz w:val="22"/>
        </w:rPr>
        <w:t xml:space="preserve"> is provided to UE, there is a followed issue about MCCH monitoring. </w:t>
      </w:r>
    </w:p>
    <w:p w14:paraId="008E7FFA" w14:textId="76D5A135" w:rsidR="003065BE" w:rsidRPr="003065BE" w:rsidRDefault="003065BE" w:rsidP="003065BE">
      <w:pPr>
        <w:rPr>
          <w:rFonts w:ascii="Times New Roman" w:hAnsi="Times New Roman"/>
          <w:sz w:val="22"/>
          <w:lang w:val="en-GB"/>
        </w:rPr>
      </w:pPr>
      <w:r w:rsidRPr="003065BE">
        <w:rPr>
          <w:rFonts w:ascii="Times New Roman" w:hAnsi="Times New Roman" w:hint="eastAsia"/>
          <w:sz w:val="22"/>
        </w:rPr>
        <w:t>I</w:t>
      </w:r>
      <w:r w:rsidRPr="003065BE">
        <w:rPr>
          <w:rFonts w:ascii="Times New Roman" w:hAnsi="Times New Roman"/>
          <w:sz w:val="22"/>
        </w:rPr>
        <w:t xml:space="preserve">n </w:t>
      </w:r>
      <w:r>
        <w:rPr>
          <w:rFonts w:ascii="Times New Roman" w:hAnsi="Times New Roman"/>
          <w:sz w:val="22"/>
        </w:rPr>
        <w:t>legacy</w:t>
      </w:r>
      <w:r w:rsidRPr="003065BE">
        <w:rPr>
          <w:rFonts w:ascii="Times New Roman" w:hAnsi="Times New Roman"/>
          <w:sz w:val="22"/>
        </w:rPr>
        <w:t xml:space="preserve"> MBS</w:t>
      </w:r>
      <w:r>
        <w:rPr>
          <w:rFonts w:ascii="Times New Roman" w:hAnsi="Times New Roman"/>
          <w:sz w:val="22"/>
        </w:rPr>
        <w:t xml:space="preserve"> broadcast</w:t>
      </w:r>
      <w:r w:rsidRPr="003065BE">
        <w:rPr>
          <w:rFonts w:ascii="Times New Roman" w:hAnsi="Times New Roman"/>
          <w:sz w:val="22"/>
        </w:rPr>
        <w:t xml:space="preserve">, UE monitors MCCH to </w:t>
      </w:r>
      <w:r w:rsidRPr="003065BE">
        <w:rPr>
          <w:rFonts w:ascii="Times New Roman" w:hAnsi="Times New Roman"/>
          <w:sz w:val="22"/>
          <w:lang w:val="en-GB"/>
        </w:rPr>
        <w:t xml:space="preserve">receive the MBS configuration for broadcast session. And when an MCCH change notification is received, </w:t>
      </w:r>
      <w:r w:rsidRPr="003065BE">
        <w:rPr>
          <w:rFonts w:ascii="Times New Roman" w:hAnsi="Times New Roman"/>
          <w:sz w:val="22"/>
        </w:rPr>
        <w:t xml:space="preserve">UE monitors MCCH to </w:t>
      </w:r>
      <w:r w:rsidRPr="003065BE">
        <w:rPr>
          <w:rFonts w:ascii="Times New Roman" w:hAnsi="Times New Roman"/>
          <w:sz w:val="22"/>
          <w:lang w:val="en-GB"/>
        </w:rPr>
        <w:t>update the MBS configuration for broadcast session. 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 It is up to UE implementation how to address a possibility of the UE missing an MCCH change notification.</w:t>
      </w:r>
    </w:p>
    <w:p w14:paraId="75D05277" w14:textId="08F362FF" w:rsidR="003065BE" w:rsidRDefault="003065BE" w:rsidP="003065BE">
      <w:pPr>
        <w:rPr>
          <w:rFonts w:ascii="Times New Roman" w:hAnsi="Times New Roman"/>
          <w:sz w:val="22"/>
        </w:rPr>
      </w:pPr>
      <w:r w:rsidRPr="003065BE">
        <w:rPr>
          <w:rFonts w:ascii="Times New Roman" w:hAnsi="Times New Roman"/>
          <w:sz w:val="22"/>
        </w:rPr>
        <w:t xml:space="preserve">For the initial MCCH monitoring, in TN a UE starts to monitor </w:t>
      </w:r>
      <w:r w:rsidRPr="003065BE">
        <w:rPr>
          <w:rFonts w:ascii="Times New Roman" w:hAnsi="Times New Roman"/>
          <w:sz w:val="22"/>
          <w:lang w:val="en-GB"/>
        </w:rPr>
        <w:t xml:space="preserve">upon entering the cell providing </w:t>
      </w:r>
      <w:r w:rsidRPr="003065BE">
        <w:rPr>
          <w:rFonts w:ascii="Times New Roman" w:hAnsi="Times New Roman"/>
          <w:i/>
          <w:sz w:val="22"/>
          <w:lang w:val="en-GB"/>
        </w:rPr>
        <w:t>SIB20</w:t>
      </w:r>
      <w:r w:rsidRPr="003065BE">
        <w:rPr>
          <w:rFonts w:ascii="Times New Roman" w:hAnsi="Times New Roman"/>
          <w:iCs/>
          <w:sz w:val="22"/>
          <w:lang w:val="en-GB"/>
        </w:rPr>
        <w:t xml:space="preserve">. In an NTN cell </w:t>
      </w:r>
      <w:r w:rsidRPr="003065BE">
        <w:rPr>
          <w:rFonts w:ascii="Times New Roman" w:hAnsi="Times New Roman"/>
          <w:sz w:val="22"/>
        </w:rPr>
        <w:t>which could be much larger than an MBS broadcast service area, UE may not need to start MCCH monitoring upon entering the NTN cell, i.e., whether the UE is</w:t>
      </w:r>
      <w:r w:rsidR="000030AF">
        <w:rPr>
          <w:rFonts w:ascii="Times New Roman" w:hAnsi="Times New Roman"/>
          <w:sz w:val="22"/>
        </w:rPr>
        <w:t xml:space="preserve"> in the MBS broadcast area or is</w:t>
      </w:r>
      <w:r w:rsidRPr="003065BE">
        <w:rPr>
          <w:rFonts w:ascii="Times New Roman" w:hAnsi="Times New Roman"/>
          <w:sz w:val="22"/>
        </w:rPr>
        <w:t xml:space="preserve"> authorized to receive MBS broadcast service also affects UE in determining when to start monitoring the MCCH.</w:t>
      </w:r>
    </w:p>
    <w:p w14:paraId="39FB09CE" w14:textId="41D8EC32" w:rsidR="003065BE" w:rsidRPr="003065BE" w:rsidRDefault="003065BE" w:rsidP="003065BE">
      <w:pPr>
        <w:rPr>
          <w:rFonts w:ascii="Times New Roman" w:hAnsi="Times New Roman"/>
          <w:b/>
          <w:bCs/>
          <w:sz w:val="22"/>
        </w:rPr>
      </w:pPr>
      <w:r w:rsidRPr="000030AF">
        <w:rPr>
          <w:rFonts w:ascii="Times New Roman" w:hAnsi="Times New Roman" w:hint="eastAsia"/>
          <w:b/>
          <w:bCs/>
          <w:sz w:val="22"/>
        </w:rPr>
        <w:t>O</w:t>
      </w:r>
      <w:r w:rsidRPr="000030AF">
        <w:rPr>
          <w:rFonts w:ascii="Times New Roman" w:hAnsi="Times New Roman"/>
          <w:b/>
          <w:bCs/>
          <w:sz w:val="22"/>
        </w:rPr>
        <w:t>bservation</w:t>
      </w:r>
      <w:r w:rsidR="000030AF" w:rsidRPr="000030AF">
        <w:rPr>
          <w:rFonts w:ascii="Times New Roman" w:hAnsi="Times New Roman"/>
          <w:b/>
          <w:bCs/>
          <w:sz w:val="22"/>
        </w:rPr>
        <w:t xml:space="preserve"> 2: </w:t>
      </w:r>
      <w:r w:rsidR="000030AF" w:rsidRPr="003065BE">
        <w:rPr>
          <w:rFonts w:ascii="Times New Roman" w:hAnsi="Times New Roman"/>
          <w:b/>
          <w:bCs/>
          <w:iCs/>
          <w:sz w:val="22"/>
          <w:lang w:val="en-GB"/>
        </w:rPr>
        <w:t xml:space="preserve">In an NTN cell </w:t>
      </w:r>
      <w:r w:rsidR="000030AF" w:rsidRPr="003065BE">
        <w:rPr>
          <w:rFonts w:ascii="Times New Roman" w:hAnsi="Times New Roman"/>
          <w:b/>
          <w:bCs/>
          <w:sz w:val="22"/>
        </w:rPr>
        <w:t>larger than an MBS broadcast service area, UE may not need to start MCCH monitoring upon entering the NTN cell</w:t>
      </w:r>
      <w:r w:rsidR="000030AF" w:rsidRPr="000030AF">
        <w:rPr>
          <w:rFonts w:ascii="Times New Roman" w:hAnsi="Times New Roman"/>
          <w:b/>
          <w:bCs/>
          <w:sz w:val="22"/>
        </w:rPr>
        <w:t xml:space="preserve"> (but upon entering the MBS broadcast </w:t>
      </w:r>
      <w:r w:rsidR="000030AF" w:rsidRPr="003065BE">
        <w:rPr>
          <w:rFonts w:ascii="Times New Roman" w:hAnsi="Times New Roman"/>
          <w:b/>
          <w:bCs/>
          <w:sz w:val="22"/>
        </w:rPr>
        <w:t>service</w:t>
      </w:r>
      <w:r w:rsidR="000030AF" w:rsidRPr="000030AF">
        <w:rPr>
          <w:rFonts w:ascii="Times New Roman" w:hAnsi="Times New Roman"/>
          <w:b/>
          <w:bCs/>
          <w:sz w:val="22"/>
        </w:rPr>
        <w:t xml:space="preserve"> area).</w:t>
      </w:r>
    </w:p>
    <w:p w14:paraId="6339859A" w14:textId="22CE4732" w:rsidR="000030AF" w:rsidRDefault="000030AF" w:rsidP="003065BE">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herefore, if RAN2 agree to support </w:t>
      </w:r>
      <w:r w:rsidRPr="000030AF">
        <w:rPr>
          <w:rFonts w:ascii="Times New Roman" w:hAnsi="Times New Roman"/>
          <w:sz w:val="22"/>
        </w:rPr>
        <w:t xml:space="preserve">information </w:t>
      </w:r>
      <w:r>
        <w:rPr>
          <w:rFonts w:ascii="Times New Roman" w:hAnsi="Times New Roman"/>
          <w:sz w:val="22"/>
        </w:rPr>
        <w:t xml:space="preserve">provisioning </w:t>
      </w:r>
      <w:r w:rsidRPr="000030AF">
        <w:rPr>
          <w:rFonts w:ascii="Times New Roman" w:hAnsi="Times New Roman"/>
          <w:sz w:val="22"/>
        </w:rPr>
        <w:t>of MBS broadcast service area</w:t>
      </w:r>
      <w:r w:rsidR="00DF754D">
        <w:rPr>
          <w:rFonts w:ascii="Times New Roman" w:hAnsi="Times New Roman"/>
          <w:sz w:val="22"/>
        </w:rPr>
        <w:t xml:space="preserve"> as described in the WID</w:t>
      </w:r>
      <w:r>
        <w:rPr>
          <w:rFonts w:ascii="Times New Roman" w:hAnsi="Times New Roman"/>
          <w:sz w:val="22"/>
        </w:rPr>
        <w:t>, the corresponding handling and UE behavior, including MCCH monitoring, may be optimized as well.</w:t>
      </w:r>
    </w:p>
    <w:p w14:paraId="289A6500" w14:textId="67FDA227" w:rsidR="000030AF" w:rsidRPr="000030AF" w:rsidRDefault="000030AF" w:rsidP="003065BE">
      <w:pPr>
        <w:rPr>
          <w:rFonts w:ascii="Times New Roman" w:hAnsi="Times New Roman"/>
          <w:b/>
          <w:bCs/>
          <w:sz w:val="22"/>
        </w:rPr>
      </w:pPr>
      <w:r w:rsidRPr="000030AF">
        <w:rPr>
          <w:rFonts w:ascii="Times New Roman" w:hAnsi="Times New Roman" w:hint="eastAsia"/>
          <w:b/>
          <w:bCs/>
          <w:sz w:val="22"/>
        </w:rPr>
        <w:t>P</w:t>
      </w:r>
      <w:r w:rsidRPr="000030AF">
        <w:rPr>
          <w:rFonts w:ascii="Times New Roman" w:hAnsi="Times New Roman"/>
          <w:b/>
          <w:bCs/>
          <w:sz w:val="22"/>
        </w:rPr>
        <w:t xml:space="preserve">roposal 2: If providing information of MBS broadcast service area that is smaller than an NTN cell is agreed, RAN2 to further study the corresponding UE handling or behavior based on the information </w:t>
      </w:r>
      <w:r w:rsidRPr="000030AF">
        <w:rPr>
          <w:rFonts w:ascii="Times New Roman" w:hAnsi="Times New Roman"/>
          <w:b/>
          <w:bCs/>
          <w:sz w:val="22"/>
        </w:rPr>
        <w:lastRenderedPageBreak/>
        <w:t>including MCCH monitoring.</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FF10A95"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DF754D" w:rsidRPr="00DF754D">
        <w:rPr>
          <w:rFonts w:ascii="Times New Roman" w:hAnsi="Times New Roman"/>
          <w:sz w:val="22"/>
        </w:rPr>
        <w:t>the issue of broadcast service area indication in NTN</w:t>
      </w:r>
      <w:r w:rsidR="00DF754D">
        <w:rPr>
          <w:rFonts w:ascii="Times New Roman" w:hAnsi="Times New Roman"/>
          <w:sz w:val="22"/>
        </w:rPr>
        <w:t xml:space="preserve"> in case</w:t>
      </w:r>
      <w:r w:rsidR="00DF754D" w:rsidRPr="00DF754D">
        <w:rPr>
          <w:rFonts w:ascii="Times New Roman" w:hAnsi="Times New Roman"/>
          <w:sz w:val="22"/>
        </w:rPr>
        <w:t xml:space="preserve"> when the broadcast service area is smaller than the size of an NTN cell</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44A2F87C" w14:textId="77777777" w:rsidR="00DF754D" w:rsidRPr="009E411A" w:rsidRDefault="00DF754D" w:rsidP="00DF754D">
      <w:pPr>
        <w:rPr>
          <w:rFonts w:ascii="Times New Roman" w:hAnsi="Times New Roman"/>
          <w:b/>
          <w:bCs/>
          <w:sz w:val="22"/>
        </w:rPr>
      </w:pPr>
      <w:r w:rsidRPr="009E411A">
        <w:rPr>
          <w:rFonts w:ascii="Times New Roman" w:hAnsi="Times New Roman" w:hint="eastAsia"/>
          <w:b/>
          <w:bCs/>
          <w:sz w:val="22"/>
        </w:rPr>
        <w:t>O</w:t>
      </w:r>
      <w:r w:rsidRPr="009E411A">
        <w:rPr>
          <w:rFonts w:ascii="Times New Roman" w:hAnsi="Times New Roman"/>
          <w:b/>
          <w:bCs/>
          <w:sz w:val="22"/>
        </w:rPr>
        <w:t>bservation 1: The mechanism of determining whether UE is in an MBS broadcast service area by its serving cell, is based on the assumption that an MBS broadcast service area is larger than a TN cell coverage.</w:t>
      </w:r>
    </w:p>
    <w:p w14:paraId="3B237E0C" w14:textId="77777777" w:rsidR="00DF754D" w:rsidRPr="003065BE" w:rsidRDefault="00DF754D" w:rsidP="00DF754D">
      <w:pPr>
        <w:rPr>
          <w:rFonts w:ascii="Times New Roman" w:hAnsi="Times New Roman"/>
          <w:b/>
          <w:bCs/>
          <w:sz w:val="22"/>
        </w:rPr>
      </w:pPr>
      <w:r w:rsidRPr="000030AF">
        <w:rPr>
          <w:rFonts w:ascii="Times New Roman" w:hAnsi="Times New Roman" w:hint="eastAsia"/>
          <w:b/>
          <w:bCs/>
          <w:sz w:val="22"/>
        </w:rPr>
        <w:t>O</w:t>
      </w:r>
      <w:r w:rsidRPr="000030AF">
        <w:rPr>
          <w:rFonts w:ascii="Times New Roman" w:hAnsi="Times New Roman"/>
          <w:b/>
          <w:bCs/>
          <w:sz w:val="22"/>
        </w:rPr>
        <w:t xml:space="preserve">bservation 2: </w:t>
      </w:r>
      <w:r w:rsidRPr="003065BE">
        <w:rPr>
          <w:rFonts w:ascii="Times New Roman" w:hAnsi="Times New Roman"/>
          <w:b/>
          <w:bCs/>
          <w:iCs/>
          <w:sz w:val="22"/>
          <w:lang w:val="en-GB"/>
        </w:rPr>
        <w:t xml:space="preserve">In an NTN cell </w:t>
      </w:r>
      <w:r w:rsidRPr="003065BE">
        <w:rPr>
          <w:rFonts w:ascii="Times New Roman" w:hAnsi="Times New Roman"/>
          <w:b/>
          <w:bCs/>
          <w:sz w:val="22"/>
        </w:rPr>
        <w:t>larger than an MBS broadcast service area, UE may not need to start MCCH monitoring upon entering the NTN cell</w:t>
      </w:r>
      <w:r w:rsidRPr="000030AF">
        <w:rPr>
          <w:rFonts w:ascii="Times New Roman" w:hAnsi="Times New Roman"/>
          <w:b/>
          <w:bCs/>
          <w:sz w:val="22"/>
        </w:rPr>
        <w:t xml:space="preserve"> (but upon entering the MBS broadcast </w:t>
      </w:r>
      <w:r w:rsidRPr="003065BE">
        <w:rPr>
          <w:rFonts w:ascii="Times New Roman" w:hAnsi="Times New Roman"/>
          <w:b/>
          <w:bCs/>
          <w:sz w:val="22"/>
        </w:rPr>
        <w:t>service</w:t>
      </w:r>
      <w:r w:rsidRPr="000030AF">
        <w:rPr>
          <w:rFonts w:ascii="Times New Roman" w:hAnsi="Times New Roman"/>
          <w:b/>
          <w:bCs/>
          <w:sz w:val="22"/>
        </w:rPr>
        <w:t xml:space="preserve"> area).</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3B577D7B" w14:textId="77777777" w:rsidR="00DF754D" w:rsidRPr="00F9782A" w:rsidRDefault="00DF754D" w:rsidP="00DF754D">
      <w:pPr>
        <w:rPr>
          <w:rFonts w:ascii="Times New Roman" w:hAnsi="Times New Roman"/>
          <w:b/>
          <w:bCs/>
          <w:sz w:val="22"/>
        </w:rPr>
      </w:pPr>
      <w:r w:rsidRPr="00F9782A">
        <w:rPr>
          <w:rFonts w:ascii="Times New Roman" w:hAnsi="Times New Roman" w:hint="eastAsia"/>
          <w:b/>
          <w:bCs/>
          <w:sz w:val="22"/>
        </w:rPr>
        <w:t>P</w:t>
      </w:r>
      <w:r w:rsidRPr="00F9782A">
        <w:rPr>
          <w:rFonts w:ascii="Times New Roman" w:hAnsi="Times New Roman"/>
          <w:b/>
          <w:bCs/>
          <w:sz w:val="22"/>
        </w:rPr>
        <w:t>roposal 1: RAN2 to discuss how to provide information of MBS broadcast service area that is smaller than an NTN cell.</w:t>
      </w:r>
    </w:p>
    <w:p w14:paraId="18478002" w14:textId="0C421231" w:rsidR="005C389C" w:rsidRPr="00DF754D" w:rsidRDefault="00DF754D" w:rsidP="00DF754D">
      <w:pPr>
        <w:rPr>
          <w:rFonts w:ascii="Times New Roman" w:hAnsi="Times New Roman"/>
          <w:b/>
          <w:bCs/>
          <w:sz w:val="22"/>
        </w:rPr>
      </w:pPr>
      <w:r w:rsidRPr="000030AF">
        <w:rPr>
          <w:rFonts w:ascii="Times New Roman" w:hAnsi="Times New Roman" w:hint="eastAsia"/>
          <w:b/>
          <w:bCs/>
          <w:sz w:val="22"/>
        </w:rPr>
        <w:t>P</w:t>
      </w:r>
      <w:r w:rsidRPr="000030AF">
        <w:rPr>
          <w:rFonts w:ascii="Times New Roman" w:hAnsi="Times New Roman"/>
          <w:b/>
          <w:bCs/>
          <w:sz w:val="22"/>
        </w:rPr>
        <w:t>roposal 2: If providing information of MBS broadcast service area that is smaller than an NTN cell is agreed, RAN2 to further study the corresponding UE handling or behavior based on the information including MCCH monitoring.</w:t>
      </w:r>
    </w:p>
    <w:sectPr w:rsidR="005C389C" w:rsidRPr="00DF754D"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15B74" w14:textId="77777777" w:rsidR="004627DD" w:rsidRDefault="004627DD">
      <w:r>
        <w:separator/>
      </w:r>
    </w:p>
  </w:endnote>
  <w:endnote w:type="continuationSeparator" w:id="0">
    <w:p w14:paraId="42F7EC37" w14:textId="77777777" w:rsidR="004627DD" w:rsidRDefault="0046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BB7F" w14:textId="77777777" w:rsidR="004627DD" w:rsidRDefault="004627DD">
      <w:r>
        <w:separator/>
      </w:r>
    </w:p>
  </w:footnote>
  <w:footnote w:type="continuationSeparator" w:id="0">
    <w:p w14:paraId="2B5E178C" w14:textId="77777777" w:rsidR="004627DD" w:rsidRDefault="00462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7"/>
  </w:num>
  <w:num w:numId="2" w16cid:durableId="1984658315">
    <w:abstractNumId w:val="2"/>
  </w:num>
  <w:num w:numId="3" w16cid:durableId="722876610">
    <w:abstractNumId w:val="29"/>
  </w:num>
  <w:num w:numId="4" w16cid:durableId="859195836">
    <w:abstractNumId w:val="28"/>
  </w:num>
  <w:num w:numId="5" w16cid:durableId="220140937">
    <w:abstractNumId w:val="11"/>
  </w:num>
  <w:num w:numId="6" w16cid:durableId="1734040883">
    <w:abstractNumId w:val="26"/>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1"/>
  </w:num>
  <w:num w:numId="14" w16cid:durableId="1493519478">
    <w:abstractNumId w:val="7"/>
  </w:num>
  <w:num w:numId="15" w16cid:durableId="127743599">
    <w:abstractNumId w:val="31"/>
  </w:num>
  <w:num w:numId="16" w16cid:durableId="1895191140">
    <w:abstractNumId w:val="32"/>
  </w:num>
  <w:num w:numId="17" w16cid:durableId="828903070">
    <w:abstractNumId w:val="1"/>
  </w:num>
  <w:num w:numId="18" w16cid:durableId="1821799038">
    <w:abstractNumId w:val="9"/>
  </w:num>
  <w:num w:numId="19" w16cid:durableId="985160454">
    <w:abstractNumId w:val="20"/>
  </w:num>
  <w:num w:numId="20" w16cid:durableId="1390036946">
    <w:abstractNumId w:val="0"/>
  </w:num>
  <w:num w:numId="21" w16cid:durableId="381757924">
    <w:abstractNumId w:val="24"/>
  </w:num>
  <w:num w:numId="22" w16cid:durableId="1834640208">
    <w:abstractNumId w:val="4"/>
  </w:num>
  <w:num w:numId="23" w16cid:durableId="303239897">
    <w:abstractNumId w:val="15"/>
  </w:num>
  <w:num w:numId="24" w16cid:durableId="1178815800">
    <w:abstractNumId w:val="10"/>
  </w:num>
  <w:num w:numId="25" w16cid:durableId="1387993154">
    <w:abstractNumId w:val="23"/>
  </w:num>
  <w:num w:numId="26" w16cid:durableId="940138824">
    <w:abstractNumId w:val="25"/>
  </w:num>
  <w:num w:numId="27" w16cid:durableId="871189877">
    <w:abstractNumId w:val="22"/>
  </w:num>
  <w:num w:numId="28" w16cid:durableId="418596070">
    <w:abstractNumId w:val="33"/>
  </w:num>
  <w:num w:numId="29" w16cid:durableId="1149438441">
    <w:abstractNumId w:val="19"/>
  </w:num>
  <w:num w:numId="30" w16cid:durableId="1023165204">
    <w:abstractNumId w:val="30"/>
  </w:num>
  <w:num w:numId="31" w16cid:durableId="730009029">
    <w:abstractNumId w:val="14"/>
  </w:num>
  <w:num w:numId="32" w16cid:durableId="2073652555">
    <w:abstractNumId w:val="12"/>
  </w:num>
  <w:num w:numId="33" w16cid:durableId="483818738">
    <w:abstractNumId w:val="13"/>
  </w:num>
  <w:num w:numId="34" w16cid:durableId="13129046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9487</TotalTime>
  <Pages>3</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211</cp:revision>
  <cp:lastPrinted>2012-10-30T00:20:00Z</cp:lastPrinted>
  <dcterms:created xsi:type="dcterms:W3CDTF">2020-08-03T07:44:00Z</dcterms:created>
  <dcterms:modified xsi:type="dcterms:W3CDTF">2024-04-05T06:07:00Z</dcterms:modified>
</cp:coreProperties>
</file>